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54DB" w:rsidRDefault="00653C01">
      <w:pPr>
        <w:spacing w:before="0" w:after="0" w:line="0" w:lineRule="atLeast"/>
        <w:jc w:val="left"/>
        <w:rPr>
          <w:rFonts w:ascii="Arial"/>
          <w:color w:val="FF0000"/>
          <w:sz w:val="2"/>
        </w:rPr>
      </w:pPr>
      <w:r>
        <w:rPr>
          <w:rFonts w:ascii="Arial"/>
          <w:color w:val="FF0000"/>
          <w:sz w:val="2"/>
        </w:rPr>
        <w:t xml:space="preserve"> </w:t>
      </w:r>
    </w:p>
    <w:p w:rsidR="002754DB" w:rsidRDefault="00653C01">
      <w:pPr>
        <w:framePr w:w="9791" w:wrap="auto" w:hAnchor="text" w:x="1952" w:y="1492"/>
        <w:widowControl w:val="0"/>
        <w:autoSpaceDE w:val="0"/>
        <w:autoSpaceDN w:val="0"/>
        <w:spacing w:before="0" w:after="0" w:line="360" w:lineRule="exact"/>
        <w:jc w:val="left"/>
        <w:rPr>
          <w:rFonts w:ascii="PUBMFE+æ¨æ¥·é«"/>
          <w:color w:val="000000"/>
          <w:sz w:val="36"/>
          <w:lang w:eastAsia="zh-TW"/>
        </w:rPr>
      </w:pPr>
      <w:r>
        <w:rPr>
          <w:rFonts w:ascii="PUBMFE+æ¨æ¥·é«" w:hAnsi="PUBMFE+æ¨æ¥·é«" w:cs="PUBMFE+æ¨æ¥·é«" w:hint="eastAsia"/>
          <w:color w:val="000000"/>
          <w:sz w:val="36"/>
          <w:lang w:eastAsia="zh-TW"/>
        </w:rPr>
        <w:t>彰化縣花壇鄉花壇</w:t>
      </w:r>
      <w:bookmarkStart w:id="0" w:name="_GoBack"/>
      <w:bookmarkEnd w:id="0"/>
      <w:r>
        <w:rPr>
          <w:rFonts w:ascii="PUBMFE+æ¨æ¥·é«" w:hAnsi="PUBMFE+æ¨æ¥·é«" w:cs="PUBMFE+æ¨æ¥·é«"/>
          <w:color w:val="000000"/>
          <w:sz w:val="36"/>
          <w:lang w:eastAsia="zh-TW"/>
        </w:rPr>
        <w:t>國民小學性別平等教育實施規定</w:t>
      </w:r>
    </w:p>
    <w:p w:rsidR="002754DB" w:rsidRDefault="00653C01">
      <w:pPr>
        <w:framePr w:w="9791" w:wrap="auto" w:hAnchor="text" w:x="1952" w:y="1492"/>
        <w:widowControl w:val="0"/>
        <w:autoSpaceDE w:val="0"/>
        <w:autoSpaceDN w:val="0"/>
        <w:spacing w:before="286" w:after="0" w:line="199" w:lineRule="exact"/>
        <w:ind w:left="5814"/>
        <w:jc w:val="left"/>
        <w:rPr>
          <w:rFonts w:ascii="PUBMFE+æ¨æ¥·é«"/>
          <w:color w:val="000000"/>
          <w:sz w:val="20"/>
          <w:lang w:eastAsia="zh-TW"/>
        </w:rPr>
      </w:pPr>
      <w:r>
        <w:rPr>
          <w:rFonts w:ascii="VDPDMV+æ¨æ¥·é«"/>
          <w:color w:val="000000"/>
          <w:spacing w:val="1"/>
          <w:sz w:val="20"/>
          <w:lang w:eastAsia="zh-TW"/>
        </w:rPr>
        <w:t>113</w:t>
      </w:r>
      <w:r>
        <w:rPr>
          <w:rFonts w:ascii="VDPDMV+æ¨æ¥·é«"/>
          <w:color w:val="000000"/>
          <w:spacing w:val="-2"/>
          <w:sz w:val="20"/>
          <w:lang w:eastAsia="zh-TW"/>
        </w:rPr>
        <w:t xml:space="preserve"> </w:t>
      </w:r>
      <w:r>
        <w:rPr>
          <w:rFonts w:ascii="PUBMFE+æ¨æ¥·é«" w:hAnsi="PUBMFE+æ¨æ¥·é«" w:cs="PUBMFE+æ¨æ¥·é«"/>
          <w:color w:val="000000"/>
          <w:sz w:val="20"/>
          <w:lang w:eastAsia="zh-TW"/>
        </w:rPr>
        <w:t>年</w:t>
      </w:r>
      <w:r>
        <w:rPr>
          <w:rFonts w:ascii="Times New Roman"/>
          <w:color w:val="000000"/>
          <w:spacing w:val="1"/>
          <w:sz w:val="20"/>
          <w:lang w:eastAsia="zh-TW"/>
        </w:rPr>
        <w:t xml:space="preserve"> </w:t>
      </w:r>
      <w:r>
        <w:rPr>
          <w:rFonts w:ascii="VDPDMV+æ¨æ¥·é«"/>
          <w:color w:val="000000"/>
          <w:spacing w:val="52"/>
          <w:sz w:val="20"/>
          <w:lang w:eastAsia="zh-TW"/>
        </w:rPr>
        <w:t>6</w:t>
      </w:r>
      <w:r>
        <w:rPr>
          <w:rFonts w:ascii="PUBMFE+æ¨æ¥·é«" w:hAnsi="PUBMFE+æ¨æ¥·é«" w:cs="PUBMFE+æ¨æ¥·é«"/>
          <w:color w:val="000000"/>
          <w:sz w:val="20"/>
          <w:lang w:eastAsia="zh-TW"/>
        </w:rPr>
        <w:t>月</w:t>
      </w:r>
      <w:r>
        <w:rPr>
          <w:rFonts w:ascii="Times New Roman"/>
          <w:color w:val="000000"/>
          <w:sz w:val="20"/>
          <w:lang w:eastAsia="zh-TW"/>
        </w:rPr>
        <w:t xml:space="preserve"> </w:t>
      </w:r>
      <w:r>
        <w:rPr>
          <w:rFonts w:ascii="VDPDMV+æ¨æ¥·é«"/>
          <w:color w:val="000000"/>
          <w:spacing w:val="1"/>
          <w:sz w:val="20"/>
          <w:lang w:eastAsia="zh-TW"/>
        </w:rPr>
        <w:t>26</w:t>
      </w:r>
      <w:r>
        <w:rPr>
          <w:rFonts w:ascii="PUBMFE+æ¨æ¥·é«" w:hAnsi="PUBMFE+æ¨æ¥·é«" w:cs="PUBMFE+æ¨æ¥·é«"/>
          <w:color w:val="000000"/>
          <w:spacing w:val="1"/>
          <w:sz w:val="20"/>
          <w:lang w:eastAsia="zh-TW"/>
        </w:rPr>
        <w:t>日校務會議通過</w:t>
      </w:r>
    </w:p>
    <w:p w:rsidR="002754DB" w:rsidRDefault="00653C01">
      <w:pPr>
        <w:framePr w:w="7410" w:wrap="auto" w:hAnchor="text" w:x="1118" w:y="2566"/>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z w:val="28"/>
          <w:lang w:eastAsia="zh-TW"/>
        </w:rPr>
        <w:t>一、</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本規定依據性別平等教育法第十二條訂定之。</w:t>
      </w:r>
    </w:p>
    <w:p w:rsidR="002754DB" w:rsidRDefault="00653C01">
      <w:pPr>
        <w:framePr w:w="10951" w:wrap="auto" w:hAnchor="text" w:x="1118" w:y="3171"/>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z w:val="28"/>
          <w:lang w:eastAsia="zh-TW"/>
        </w:rPr>
        <w:t>二、</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本校應提供性別平等之學習環境，尊重及考量學生與教職員工之不同性</w:t>
      </w:r>
    </w:p>
    <w:p w:rsidR="002754DB" w:rsidRDefault="00653C01">
      <w:pPr>
        <w:framePr w:w="10951" w:wrap="auto" w:hAnchor="text" w:x="1118" w:y="3171"/>
        <w:widowControl w:val="0"/>
        <w:autoSpaceDE w:val="0"/>
        <w:autoSpaceDN w:val="0"/>
        <w:spacing w:before="180"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別、性別特質、性別認同或性傾向，以建立安全之校園空間。</w:t>
      </w:r>
    </w:p>
    <w:p w:rsidR="002754DB" w:rsidRDefault="00653C01">
      <w:pPr>
        <w:framePr w:w="10845" w:wrap="auto" w:hAnchor="text" w:x="1118" w:y="4211"/>
        <w:widowControl w:val="0"/>
        <w:autoSpaceDE w:val="0"/>
        <w:autoSpaceDN w:val="0"/>
        <w:spacing w:before="0" w:after="0" w:line="311" w:lineRule="exact"/>
        <w:jc w:val="left"/>
        <w:rPr>
          <w:rFonts w:ascii="PUBMFE+æ¨æ¥·é«"/>
          <w:color w:val="000000"/>
          <w:sz w:val="28"/>
          <w:lang w:eastAsia="zh-TW"/>
        </w:rPr>
      </w:pPr>
      <w:r>
        <w:rPr>
          <w:rFonts w:ascii="PUBMFE+æ¨æ¥·é«" w:hAnsi="PUBMFE+æ¨æ¥·é«" w:cs="PUBMFE+æ¨æ¥·é«"/>
          <w:color w:val="000000"/>
          <w:sz w:val="28"/>
          <w:lang w:eastAsia="zh-TW"/>
        </w:rPr>
        <w:t>三、</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本校性別平等教育委員會</w:t>
      </w:r>
      <w:r>
        <w:rPr>
          <w:rFonts w:ascii="Times New Roman"/>
          <w:color w:val="000000"/>
          <w:spacing w:val="-2"/>
          <w:sz w:val="28"/>
          <w:lang w:eastAsia="zh-TW"/>
        </w:rPr>
        <w:t>(</w:t>
      </w:r>
      <w:r>
        <w:rPr>
          <w:rFonts w:ascii="PUBMFE+æ¨æ¥·é«" w:hAnsi="PUBMFE+æ¨æ¥·é«" w:cs="PUBMFE+æ¨æ¥·é«"/>
          <w:color w:val="000000"/>
          <w:spacing w:val="-1"/>
          <w:sz w:val="28"/>
          <w:lang w:eastAsia="zh-TW"/>
        </w:rPr>
        <w:t>以下簡稱性平會</w:t>
      </w:r>
      <w:r>
        <w:rPr>
          <w:rFonts w:ascii="Times New Roman"/>
          <w:color w:val="000000"/>
          <w:spacing w:val="-2"/>
          <w:sz w:val="28"/>
          <w:lang w:eastAsia="zh-TW"/>
        </w:rPr>
        <w:t>)</w:t>
      </w:r>
      <w:r>
        <w:rPr>
          <w:rFonts w:ascii="PUBMFE+æ¨æ¥·é«" w:hAnsi="PUBMFE+æ¨æ¥·é«" w:cs="PUBMFE+æ¨æ¥·é«"/>
          <w:color w:val="000000"/>
          <w:spacing w:val="-1"/>
          <w:sz w:val="28"/>
          <w:lang w:eastAsia="zh-TW"/>
        </w:rPr>
        <w:t>應統整各單位相關資源，擬</w:t>
      </w:r>
    </w:p>
    <w:p w:rsidR="002754DB" w:rsidRDefault="00653C01">
      <w:pPr>
        <w:framePr w:w="8073" w:wrap="auto" w:hAnchor="text" w:x="1961" w:y="4697"/>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pacing w:val="-1"/>
          <w:sz w:val="28"/>
          <w:lang w:eastAsia="zh-TW"/>
        </w:rPr>
        <w:t>訂性別平等教育年度實施計畫，並落實檢視其實施成果。</w:t>
      </w:r>
    </w:p>
    <w:p w:rsidR="002754DB" w:rsidRDefault="00653C01">
      <w:pPr>
        <w:framePr w:w="10951" w:wrap="auto" w:hAnchor="text" w:x="1118" w:y="5303"/>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z w:val="28"/>
          <w:lang w:eastAsia="zh-TW"/>
        </w:rPr>
        <w:t>四、</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本校教職員工之職前教育、新進人員培訓及在職進修課程，應納入性別</w:t>
      </w:r>
    </w:p>
    <w:p w:rsidR="002754DB" w:rsidRDefault="00653C01">
      <w:pPr>
        <w:framePr w:w="10951" w:wrap="auto" w:hAnchor="text" w:x="1118" w:y="5303"/>
        <w:widowControl w:val="0"/>
        <w:autoSpaceDE w:val="0"/>
        <w:autoSpaceDN w:val="0"/>
        <w:spacing w:before="178"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平等教育之內容。</w:t>
      </w:r>
    </w:p>
    <w:p w:rsidR="002754DB" w:rsidRDefault="00653C01">
      <w:pPr>
        <w:framePr w:w="10951" w:wrap="auto" w:hAnchor="text" w:x="1118" w:y="6265"/>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z w:val="28"/>
          <w:lang w:eastAsia="zh-TW"/>
        </w:rPr>
        <w:t>五、</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本校之招生及就學許可不得有性別、性別特質、性別認同或性傾向之差</w:t>
      </w:r>
    </w:p>
    <w:p w:rsidR="002754DB" w:rsidRDefault="00653C01">
      <w:pPr>
        <w:framePr w:w="10951" w:wrap="auto" w:hAnchor="text" w:x="1118" w:y="6265"/>
        <w:widowControl w:val="0"/>
        <w:autoSpaceDE w:val="0"/>
        <w:autoSpaceDN w:val="0"/>
        <w:spacing w:before="91"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別待遇，且不得因學生之性別、性別特質、性別認同或性傾向而給予教</w:t>
      </w:r>
    </w:p>
    <w:p w:rsidR="002754DB" w:rsidRDefault="00653C01">
      <w:pPr>
        <w:framePr w:w="10951" w:wrap="auto" w:hAnchor="text" w:x="1118" w:y="6265"/>
        <w:widowControl w:val="0"/>
        <w:autoSpaceDE w:val="0"/>
        <w:autoSpaceDN w:val="0"/>
        <w:spacing w:before="91"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學、活動、評量、獎懲、福利及服務上之差別待遇。但性質僅適合特定</w:t>
      </w:r>
    </w:p>
    <w:p w:rsidR="002754DB" w:rsidRDefault="00653C01">
      <w:pPr>
        <w:framePr w:w="10951" w:wrap="auto" w:hAnchor="text" w:x="1118" w:y="6265"/>
        <w:widowControl w:val="0"/>
        <w:autoSpaceDE w:val="0"/>
        <w:autoSpaceDN w:val="0"/>
        <w:spacing w:before="94"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性別、性別特質、性別認同或性傾向者，不在此限。</w:t>
      </w:r>
    </w:p>
    <w:p w:rsidR="002754DB" w:rsidRDefault="00653C01">
      <w:pPr>
        <w:framePr w:w="10951" w:wrap="auto" w:hAnchor="text" w:x="1118" w:y="7902"/>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z w:val="28"/>
          <w:lang w:eastAsia="zh-TW"/>
        </w:rPr>
        <w:t>六、</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本校應對於因性別、性別特質、性別認同或性傾向而處於不利處境之學</w:t>
      </w:r>
    </w:p>
    <w:p w:rsidR="002754DB" w:rsidRDefault="00653C01">
      <w:pPr>
        <w:framePr w:w="10951" w:wrap="auto" w:hAnchor="text" w:x="1118" w:y="7902"/>
        <w:widowControl w:val="0"/>
        <w:autoSpaceDE w:val="0"/>
        <w:autoSpaceDN w:val="0"/>
        <w:spacing w:before="178"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生積極提供協助，以改善其處境。</w:t>
      </w:r>
    </w:p>
    <w:p w:rsidR="002754DB" w:rsidRDefault="00653C01">
      <w:pPr>
        <w:framePr w:w="9016" w:wrap="auto" w:hAnchor="text" w:x="1118" w:y="9006"/>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z w:val="28"/>
          <w:lang w:eastAsia="zh-TW"/>
        </w:rPr>
        <w:t>七、</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本校應積極維護懷孕學生之受教權，並提供必要之協助。</w:t>
      </w:r>
    </w:p>
    <w:p w:rsidR="002754DB" w:rsidRDefault="00653C01">
      <w:pPr>
        <w:framePr w:w="10953" w:wrap="auto" w:hAnchor="text" w:x="1118" w:y="9611"/>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z w:val="28"/>
          <w:lang w:eastAsia="zh-TW"/>
        </w:rPr>
        <w:t>八、</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本校教材之編寫、審查及選用，應符合性別平等教育原則；教材內容應</w:t>
      </w:r>
    </w:p>
    <w:p w:rsidR="002754DB" w:rsidRDefault="00653C01">
      <w:pPr>
        <w:framePr w:w="10953" w:wrap="auto" w:hAnchor="text" w:x="1118" w:y="9611"/>
        <w:widowControl w:val="0"/>
        <w:autoSpaceDE w:val="0"/>
        <w:autoSpaceDN w:val="0"/>
        <w:spacing w:before="180"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平衡反映不同性別之歷史貢獻及生活經驗，並呈現多元之性別觀點。</w:t>
      </w:r>
    </w:p>
    <w:p w:rsidR="002754DB" w:rsidRDefault="00653C01">
      <w:pPr>
        <w:framePr w:w="10951" w:wrap="auto" w:hAnchor="text" w:x="1118" w:y="10677"/>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z w:val="28"/>
          <w:lang w:eastAsia="zh-TW"/>
        </w:rPr>
        <w:t>九、</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本校教師使用教材及從事教育活動時，應具備性別平等意識，破除性別</w:t>
      </w:r>
    </w:p>
    <w:p w:rsidR="002754DB" w:rsidRDefault="00653C01">
      <w:pPr>
        <w:framePr w:w="10951" w:wrap="auto" w:hAnchor="text" w:x="1118" w:y="10677"/>
        <w:widowControl w:val="0"/>
        <w:autoSpaceDE w:val="0"/>
        <w:autoSpaceDN w:val="0"/>
        <w:spacing w:before="173"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刻板印象，避免性別偏見及性別歧視，並應鼓勵學生修習非傳統性別之</w:t>
      </w:r>
    </w:p>
    <w:p w:rsidR="002754DB" w:rsidRDefault="00653C01">
      <w:pPr>
        <w:framePr w:w="10951" w:wrap="auto" w:hAnchor="text" w:x="1118" w:y="10677"/>
        <w:widowControl w:val="0"/>
        <w:autoSpaceDE w:val="0"/>
        <w:autoSpaceDN w:val="0"/>
        <w:spacing w:before="170"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學科領域。</w:t>
      </w:r>
    </w:p>
    <w:p w:rsidR="002754DB" w:rsidRDefault="00653C01">
      <w:pPr>
        <w:framePr w:w="10951" w:wrap="auto" w:hAnchor="text" w:x="1118" w:y="12180"/>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z w:val="28"/>
          <w:lang w:eastAsia="zh-TW"/>
        </w:rPr>
        <w:t>十、</w:t>
      </w:r>
      <w:r>
        <w:rPr>
          <w:rFonts w:ascii="Times New Roman"/>
          <w:color w:val="000000"/>
          <w:spacing w:val="211"/>
          <w:sz w:val="28"/>
          <w:lang w:eastAsia="zh-TW"/>
        </w:rPr>
        <w:t xml:space="preserve"> </w:t>
      </w:r>
      <w:r>
        <w:rPr>
          <w:rFonts w:ascii="PUBMFE+æ¨æ¥·é«" w:hAnsi="PUBMFE+æ¨æ¥·é«" w:cs="PUBMFE+æ¨æ¥·é«"/>
          <w:color w:val="000000"/>
          <w:spacing w:val="-1"/>
          <w:sz w:val="28"/>
          <w:lang w:eastAsia="zh-TW"/>
        </w:rPr>
        <w:t>本校應將性別平等教育融入課程，以提升學生之性別平等意識。性別平</w:t>
      </w:r>
    </w:p>
    <w:p w:rsidR="002754DB" w:rsidRDefault="00653C01">
      <w:pPr>
        <w:framePr w:w="10951" w:wrap="auto" w:hAnchor="text" w:x="1118" w:y="12180"/>
        <w:widowControl w:val="0"/>
        <w:autoSpaceDE w:val="0"/>
        <w:autoSpaceDN w:val="0"/>
        <w:spacing w:before="178"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等教育相關課程，應涵蓋情感教育、性教育、認識及尊重不同性別、性</w:t>
      </w:r>
    </w:p>
    <w:p w:rsidR="002754DB" w:rsidRDefault="00653C01">
      <w:pPr>
        <w:framePr w:w="10951" w:wrap="auto" w:hAnchor="text" w:x="1118" w:y="12180"/>
        <w:widowControl w:val="0"/>
        <w:autoSpaceDE w:val="0"/>
        <w:autoSpaceDN w:val="0"/>
        <w:spacing w:before="178"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別特徵、性別特質、性別認同、性傾向教育，及性侵害、性騷擾、性霸</w:t>
      </w:r>
    </w:p>
    <w:p w:rsidR="002754DB" w:rsidRDefault="00653C01">
      <w:pPr>
        <w:framePr w:w="10951" w:wrap="auto" w:hAnchor="text" w:x="1118" w:y="12180"/>
        <w:widowControl w:val="0"/>
        <w:autoSpaceDE w:val="0"/>
        <w:autoSpaceDN w:val="0"/>
        <w:spacing w:before="178" w:after="0" w:line="281" w:lineRule="exact"/>
        <w:ind w:left="843"/>
        <w:jc w:val="left"/>
        <w:rPr>
          <w:rFonts w:ascii="PUBMFE+æ¨æ¥·é«"/>
          <w:color w:val="000000"/>
          <w:sz w:val="28"/>
          <w:lang w:eastAsia="zh-TW"/>
        </w:rPr>
      </w:pPr>
      <w:r>
        <w:rPr>
          <w:rFonts w:ascii="PUBMFE+æ¨æ¥·é«" w:hAnsi="PUBMFE+æ¨æ¥·é«" w:cs="PUBMFE+æ¨æ¥·é«"/>
          <w:color w:val="000000"/>
          <w:spacing w:val="-1"/>
          <w:sz w:val="28"/>
          <w:lang w:eastAsia="zh-TW"/>
        </w:rPr>
        <w:t>凌防治教育等課程。</w:t>
      </w:r>
    </w:p>
    <w:p w:rsidR="002754DB" w:rsidRDefault="00653C01">
      <w:pPr>
        <w:framePr w:w="10979" w:wrap="auto" w:hAnchor="text" w:x="1118" w:y="14013"/>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pacing w:val="-1"/>
          <w:sz w:val="28"/>
          <w:lang w:eastAsia="zh-TW"/>
        </w:rPr>
        <w:t>十一、本校性別事件防治教育及校園性別事件處理另依校園性別事件防治規定</w:t>
      </w:r>
    </w:p>
    <w:p w:rsidR="002754DB" w:rsidRDefault="00653C01">
      <w:pPr>
        <w:framePr w:w="10979" w:wrap="auto" w:hAnchor="text" w:x="1118" w:y="14013"/>
        <w:widowControl w:val="0"/>
        <w:autoSpaceDE w:val="0"/>
        <w:autoSpaceDN w:val="0"/>
        <w:spacing w:before="178" w:after="0" w:line="281" w:lineRule="exact"/>
        <w:ind w:left="843"/>
        <w:jc w:val="left"/>
        <w:rPr>
          <w:rFonts w:ascii="PUBMFE+æ¨æ¥·é«"/>
          <w:color w:val="000000"/>
          <w:sz w:val="28"/>
          <w:lang w:eastAsia="zh-TW"/>
        </w:rPr>
      </w:pPr>
      <w:r>
        <w:rPr>
          <w:rFonts w:ascii="PUBMFE+æ¨æ¥·é«" w:hAnsi="PUBMFE+æ¨æ¥·é«" w:cs="PUBMFE+æ¨æ¥·é«"/>
          <w:color w:val="000000"/>
          <w:sz w:val="28"/>
          <w:lang w:eastAsia="zh-TW"/>
        </w:rPr>
        <w:t>辦理。</w:t>
      </w:r>
    </w:p>
    <w:p w:rsidR="002754DB" w:rsidRDefault="00653C01">
      <w:pPr>
        <w:framePr w:w="7750" w:wrap="auto" w:hAnchor="text" w:x="1118" w:y="14937"/>
        <w:widowControl w:val="0"/>
        <w:autoSpaceDE w:val="0"/>
        <w:autoSpaceDN w:val="0"/>
        <w:spacing w:before="0" w:after="0" w:line="281" w:lineRule="exact"/>
        <w:jc w:val="left"/>
        <w:rPr>
          <w:rFonts w:ascii="PUBMFE+æ¨æ¥·é«"/>
          <w:color w:val="000000"/>
          <w:sz w:val="28"/>
          <w:lang w:eastAsia="zh-TW"/>
        </w:rPr>
      </w:pPr>
      <w:r>
        <w:rPr>
          <w:rFonts w:ascii="PUBMFE+æ¨æ¥·é«" w:hAnsi="PUBMFE+æ¨æ¥·é«" w:cs="PUBMFE+æ¨æ¥·é«"/>
          <w:color w:val="000000"/>
          <w:spacing w:val="-1"/>
          <w:sz w:val="28"/>
          <w:lang w:eastAsia="zh-TW"/>
        </w:rPr>
        <w:t>十二、本規定由性平會研擬，經校務會議通過後施行。</w:t>
      </w:r>
    </w:p>
    <w:p w:rsidR="002754DB" w:rsidRDefault="002754DB">
      <w:pPr>
        <w:spacing w:before="0" w:after="0" w:line="0" w:lineRule="atLeast"/>
        <w:jc w:val="left"/>
        <w:rPr>
          <w:rFonts w:ascii="Arial"/>
          <w:color w:val="FF0000"/>
          <w:sz w:val="2"/>
          <w:lang w:eastAsia="zh-TW"/>
        </w:rPr>
      </w:pPr>
    </w:p>
    <w:p w:rsidR="002754DB" w:rsidRDefault="002754DB">
      <w:pPr>
        <w:spacing w:before="0" w:after="0" w:line="0" w:lineRule="atLeast"/>
        <w:jc w:val="left"/>
        <w:rPr>
          <w:rFonts w:ascii="Arial"/>
          <w:color w:val="FF0000"/>
          <w:sz w:val="2"/>
          <w:lang w:eastAsia="zh-TW"/>
        </w:rPr>
      </w:pPr>
    </w:p>
    <w:sectPr w:rsidR="002754DB">
      <w:pgSz w:w="11900" w:h="1684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7B565622-5D76-4B1E-8C9F-9AF010EA85DD}"/>
  </w:font>
  <w:font w:name="新細明體">
    <w:altName w:val="PMingLiU"/>
    <w:panose1 w:val="02020500000000000000"/>
    <w:charset w:val="88"/>
    <w:family w:val="roman"/>
    <w:pitch w:val="variable"/>
    <w:sig w:usb0="A00002FF" w:usb1="28CFFCFA" w:usb2="00000016" w:usb3="00000000" w:csb0="00100001" w:csb1="00000000"/>
    <w:embedRegular r:id="rId2" w:subsetted="1" w:fontKey="{FA208511-D3A0-445D-846A-738B2BE40BC8}"/>
  </w:font>
  <w:font w:name="Times New Roman">
    <w:panose1 w:val="02020603050405020304"/>
    <w:charset w:val="00"/>
    <w:family w:val="roman"/>
    <w:pitch w:val="variable"/>
    <w:sig w:usb0="E0002EFF" w:usb1="C000785B" w:usb2="00000009" w:usb3="00000000" w:csb0="000001FF" w:csb1="00000000"/>
    <w:embedRegular r:id="rId3" w:fontKey="{5075FCE5-9BDB-41B5-9AE2-8ED6E5066967}"/>
  </w:font>
  <w:font w:name="Arial">
    <w:panose1 w:val="020B0604020202020204"/>
    <w:charset w:val="00"/>
    <w:family w:val="swiss"/>
    <w:pitch w:val="variable"/>
    <w:sig w:usb0="E0002EFF" w:usb1="C000785B" w:usb2="00000009" w:usb3="00000000" w:csb0="000001FF" w:csb1="00000000"/>
    <w:embedRegular r:id="rId4" w:fontKey="{8CBA1619-AF46-44C9-AE6B-6D5AE4CD6F0B}"/>
  </w:font>
  <w:font w:name="PUBMFE+æ¨æ¥·é«">
    <w:charset w:val="01"/>
    <w:family w:val="modern"/>
    <w:pitch w:val="variable"/>
    <w:sig w:usb0="01010101" w:usb1="01010101" w:usb2="01010101" w:usb3="01010101" w:csb0="01010101" w:csb1="01010101"/>
    <w:embedRegular r:id="rId5" w:fontKey="{F7A4E462-A9BC-43A5-AE9B-E0BC88119624}"/>
  </w:font>
  <w:font w:name="VDPDMV+æ¨æ¥·é«">
    <w:charset w:val="01"/>
    <w:family w:val="modern"/>
    <w:pitch w:val="variable"/>
    <w:sig w:usb0="01010101" w:usb1="01010101" w:usb2="01010101" w:usb3="01010101" w:csb0="01010101" w:csb1="01010101"/>
    <w:embedRegular r:id="rId6" w:fontKey="{42539F11-9B38-4649-861B-D40C91DBADD9}"/>
  </w:font>
  <w:font w:name="Calibri Light">
    <w:panose1 w:val="020F0302020204030204"/>
    <w:charset w:val="00"/>
    <w:family w:val="swiss"/>
    <w:pitch w:val="variable"/>
    <w:sig w:usb0="E4002EFF" w:usb1="C200247B" w:usb2="00000009" w:usb3="00000000" w:csb0="000001FF" w:csb1="00000000"/>
    <w:embedRegular r:id="rId7" w:fontKey="{58F4A993-4BFB-4038-8284-DA97EB1056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2754DB"/>
    <w:rsid w:val="00653C01"/>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0A812"/>
  <w15:docId w15:val="{5E28A6F2-1D73-40AB-A073-9CB0E0ECA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無清單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Words>
  <Characters>642</Characters>
  <Application>Microsoft Office Word</Application>
  <DocSecurity>0</DocSecurity>
  <Lines>5</Lines>
  <Paragraphs>1</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s6.aconvert.com</dc:creator>
  <cp:lastModifiedBy>user</cp:lastModifiedBy>
  <cp:revision>2</cp:revision>
  <dcterms:created xsi:type="dcterms:W3CDTF">2024-09-04T02:43:00Z</dcterms:created>
  <dcterms:modified xsi:type="dcterms:W3CDTF">2024-09-04T02:43:00Z</dcterms:modified>
</cp:coreProperties>
</file>